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0BD0" w:rsidRDefault="00566552" w:rsidP="00FB077C">
      <w:pPr>
        <w:pStyle w:val="Normale1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b/>
          <w:sz w:val="48"/>
        </w:rPr>
        <w:t>DIRITTO DEL LAVORO – Modulo 2</w:t>
      </w:r>
    </w:p>
    <w:p w:rsidR="00A80BD0" w:rsidRDefault="00566552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Responsabile del corso: prof. Stefano </w:t>
      </w:r>
      <w:proofErr w:type="spellStart"/>
      <w:r>
        <w:rPr>
          <w:rFonts w:ascii="Times New Roman" w:eastAsia="Times New Roman" w:hAnsi="Times New Roman" w:cs="Times New Roman"/>
        </w:rPr>
        <w:t>Liebman</w:t>
      </w:r>
      <w:proofErr w:type="spellEnd"/>
    </w:p>
    <w:p w:rsidR="00A80BD0" w:rsidRDefault="00566552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cl. 19 S. </w:t>
      </w:r>
      <w:proofErr w:type="spellStart"/>
      <w:r>
        <w:rPr>
          <w:rFonts w:ascii="Times New Roman" w:eastAsia="Times New Roman" w:hAnsi="Times New Roman" w:cs="Times New Roman"/>
        </w:rPr>
        <w:t>Liebman</w:t>
      </w:r>
      <w:proofErr w:type="spellEnd"/>
      <w:r>
        <w:rPr>
          <w:rFonts w:ascii="Times New Roman" w:eastAsia="Times New Roman" w:hAnsi="Times New Roman" w:cs="Times New Roman"/>
        </w:rPr>
        <w:t xml:space="preserve"> – cl. 20 M. Del Conte/V. De Stefano</w:t>
      </w:r>
    </w:p>
    <w:p w:rsidR="00A80BD0" w:rsidRDefault="00566552" w:rsidP="00FB077C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Cod. 50030 – a/a 2013/2014</w:t>
      </w:r>
    </w:p>
    <w:p w:rsidR="00246FD0" w:rsidRDefault="00246FD0" w:rsidP="00FB077C">
      <w:pPr>
        <w:pStyle w:val="Normale1"/>
        <w:spacing w:line="240" w:lineRule="auto"/>
        <w:jc w:val="center"/>
      </w:pPr>
    </w:p>
    <w:p w:rsidR="00A80BD0" w:rsidRDefault="00566552">
      <w:pPr>
        <w:pStyle w:val="Normale1"/>
      </w:pPr>
      <w:r>
        <w:rPr>
          <w:b/>
        </w:rPr>
        <w:t>Contenuto del corso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Questo II modulo, di carattere marcatamente specialistico, riprende alcuni dei temi fondamentali del diritto del lavoro, già oggetto di studio istituzionale nel corso del Modulo precedente, e ne approfondisce le ricadute concrete tramite l’analisi di specifici materiali giurisprudenziali che saranno oggetto di discussione pubblica in aula, previa lettura a casa, da parte degli studenti in preparazione della lezione, allo scopo di ricostruire i percorsi argomentativi seguiti dall’organismo giudicante (Corte Costituzionale/Corte di Cassazione/Corti di merito) nella soluzione dei singoli casi concreti.</w:t>
      </w:r>
    </w:p>
    <w:p w:rsidR="00A80BD0" w:rsidRDefault="00A80BD0">
      <w:pPr>
        <w:pStyle w:val="Normale1"/>
        <w:spacing w:before="100" w:after="100" w:line="240" w:lineRule="auto"/>
        <w:jc w:val="both"/>
      </w:pP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Struttura del corso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Il corso prevede 6 snodi teorico-applicativi: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 lavoro autonomo v. lavoro subordinato,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 parità di trattamento/usi aziendali,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variandi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dell’imprenditore,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giustificato motivo oggettivo di licenziamento ed obbligo di </w:t>
      </w:r>
      <w:r>
        <w:rPr>
          <w:rFonts w:ascii="Times New Roman" w:eastAsia="Times New Roman" w:hAnsi="Times New Roman" w:cs="Times New Roman"/>
          <w:i/>
          <w:sz w:val="24"/>
        </w:rPr>
        <w:t>répechage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5) nuovo art. 18 S.L.,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6) art. 19 S.L. e costituzione delle </w:t>
      </w:r>
      <w:proofErr w:type="spellStart"/>
      <w:r>
        <w:rPr>
          <w:rFonts w:ascii="Times New Roman" w:eastAsia="Times New Roman" w:hAnsi="Times New Roman" w:cs="Times New Roman"/>
          <w:sz w:val="24"/>
        </w:rPr>
        <w:t>rsa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80BD0" w:rsidRDefault="00A80BD0">
      <w:pPr>
        <w:pStyle w:val="Normale1"/>
        <w:spacing w:before="100" w:after="100" w:line="240" w:lineRule="auto"/>
        <w:jc w:val="both"/>
      </w:pP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Materiali di riferimento per la preparazione dell'esame:</w:t>
      </w:r>
    </w:p>
    <w:p w:rsidR="00A80BD0" w:rsidRDefault="00566552">
      <w:pPr>
        <w:pStyle w:val="Normale1"/>
        <w:spacing w:before="10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1) un qualunque manuale aggiornato di diritto del lavoro;</w:t>
      </w:r>
    </w:p>
    <w:p w:rsidR="00A80BD0" w:rsidRDefault="00566552">
      <w:pPr>
        <w:pStyle w:val="Normale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2) i materiali giurisprudenziali resi disponibili fin dall’inizio del corso sull’agenda sul</w:t>
      </w:r>
      <w:r w:rsidR="005B30B8">
        <w:rPr>
          <w:rFonts w:ascii="Times New Roman" w:eastAsia="Times New Roman" w:hAnsi="Times New Roman" w:cs="Times New Roman"/>
          <w:sz w:val="24"/>
        </w:rPr>
        <w:t>l’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e-learning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dedicato al</w:t>
      </w:r>
      <w:r w:rsidR="005B30B8">
        <w:rPr>
          <w:rFonts w:ascii="Times New Roman" w:eastAsia="Times New Roman" w:hAnsi="Times New Roman" w:cs="Times New Roman"/>
          <w:sz w:val="24"/>
        </w:rPr>
        <w:t xml:space="preserve"> corso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80BD0" w:rsidRDefault="00566552">
      <w:pPr>
        <w:pStyle w:val="Normale1"/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3) codice del lavoro aggiornato.</w:t>
      </w:r>
    </w:p>
    <w:p w:rsidR="00A80BD0" w:rsidRDefault="00A80BD0">
      <w:pPr>
        <w:pStyle w:val="Normale1"/>
        <w:spacing w:after="100" w:line="240" w:lineRule="auto"/>
        <w:jc w:val="both"/>
      </w:pP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Metodologie didattiche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corso è idealmente diviso in moduli, composti da </w:t>
      </w:r>
      <w:r w:rsidR="00D34D93">
        <w:rPr>
          <w:rFonts w:ascii="Times New Roman" w:eastAsia="Times New Roman" w:hAnsi="Times New Roman" w:cs="Times New Roman"/>
          <w:sz w:val="24"/>
        </w:rPr>
        <w:t xml:space="preserve">almeno </w:t>
      </w:r>
      <w:r>
        <w:rPr>
          <w:rFonts w:ascii="Times New Roman" w:eastAsia="Times New Roman" w:hAnsi="Times New Roman" w:cs="Times New Roman"/>
          <w:sz w:val="24"/>
        </w:rPr>
        <w:t>due lezioni ciascuno (ci possono essere eccezioni). La pr</w:t>
      </w:r>
      <w:r w:rsidR="005B30B8">
        <w:rPr>
          <w:rFonts w:ascii="Times New Roman" w:eastAsia="Times New Roman" w:hAnsi="Times New Roman" w:cs="Times New Roman"/>
          <w:sz w:val="24"/>
        </w:rPr>
        <w:t>ima è una lezione introduttiva di</w:t>
      </w:r>
      <w:r>
        <w:rPr>
          <w:rFonts w:ascii="Times New Roman" w:eastAsia="Times New Roman" w:hAnsi="Times New Roman" w:cs="Times New Roman"/>
          <w:sz w:val="24"/>
        </w:rPr>
        <w:t xml:space="preserve"> carat</w:t>
      </w:r>
      <w:r w:rsidR="00C7426F">
        <w:rPr>
          <w:rFonts w:ascii="Times New Roman" w:eastAsia="Times New Roman" w:hAnsi="Times New Roman" w:cs="Times New Roman"/>
          <w:sz w:val="24"/>
        </w:rPr>
        <w:t>tere teorico. Il successivo incontro</w:t>
      </w:r>
      <w:r>
        <w:rPr>
          <w:rFonts w:ascii="Times New Roman" w:eastAsia="Times New Roman" w:hAnsi="Times New Roman" w:cs="Times New Roman"/>
          <w:sz w:val="24"/>
        </w:rPr>
        <w:t xml:space="preserve"> prevede l’analisi e la discussione in gruppo di una </w:t>
      </w:r>
      <w:r w:rsidR="00D34D93">
        <w:rPr>
          <w:rFonts w:ascii="Times New Roman" w:eastAsia="Times New Roman" w:hAnsi="Times New Roman" w:cs="Times New Roman"/>
          <w:sz w:val="24"/>
        </w:rPr>
        <w:t>o più sentenze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 seconda della complessità del caso, la discussione potrà essere diluita su più sessioni, previa comunicazione all’aula</w:t>
      </w:r>
      <w:r w:rsidR="00246FD0">
        <w:rPr>
          <w:rFonts w:ascii="Times New Roman" w:eastAsia="Times New Roman" w:hAnsi="Times New Roman" w:cs="Times New Roman"/>
          <w:sz w:val="24"/>
        </w:rPr>
        <w:t>.</w:t>
      </w:r>
    </w:p>
    <w:p w:rsidR="00A80BD0" w:rsidRDefault="00A80BD0">
      <w:pPr>
        <w:pStyle w:val="Normale1"/>
        <w:spacing w:before="100" w:after="100" w:line="240" w:lineRule="auto"/>
        <w:jc w:val="both"/>
      </w:pP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Regole per la costituzione dei gruppi</w:t>
      </w:r>
    </w:p>
    <w:p w:rsidR="00675CC5" w:rsidRDefault="00566552">
      <w:pPr>
        <w:pStyle w:val="Normale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l’aula verrà divisa in gruppi di massimo 5 studenti</w:t>
      </w:r>
      <w:r w:rsidR="00675CC5">
        <w:rPr>
          <w:rFonts w:ascii="Times New Roman" w:eastAsia="Times New Roman" w:hAnsi="Times New Roman" w:cs="Times New Roman"/>
          <w:sz w:val="24"/>
        </w:rPr>
        <w:t xml:space="preserve">, costituiti su </w:t>
      </w:r>
      <w:r w:rsidR="00675CC5" w:rsidRPr="003F3545">
        <w:rPr>
          <w:rFonts w:ascii="Times New Roman" w:eastAsia="Times New Roman" w:hAnsi="Times New Roman" w:cs="Times New Roman"/>
          <w:b/>
          <w:sz w:val="24"/>
        </w:rPr>
        <w:t>base volontaria</w:t>
      </w:r>
      <w:r w:rsidR="00675CC5">
        <w:rPr>
          <w:rFonts w:ascii="Times New Roman" w:eastAsia="Times New Roman" w:hAnsi="Times New Roman" w:cs="Times New Roman"/>
          <w:sz w:val="24"/>
        </w:rPr>
        <w:t xml:space="preserve"> </w:t>
      </w:r>
      <w:r w:rsidR="00675CC5" w:rsidRPr="005B30B8">
        <w:rPr>
          <w:rFonts w:ascii="Times New Roman" w:eastAsia="Times New Roman" w:hAnsi="Times New Roman" w:cs="Times New Roman"/>
          <w:b/>
          <w:sz w:val="24"/>
        </w:rPr>
        <w:t>tra coloro che  intendono frequentare regolarmente il corso</w:t>
      </w:r>
      <w:r w:rsidR="00675CC5">
        <w:rPr>
          <w:rFonts w:ascii="Times New Roman" w:eastAsia="Times New Roman" w:hAnsi="Times New Roman" w:cs="Times New Roman"/>
          <w:sz w:val="24"/>
        </w:rPr>
        <w:t>. L’elenco dei gruppi e dei partecipanti a ciascuno</w:t>
      </w:r>
      <w:r w:rsidR="002C2C9A">
        <w:rPr>
          <w:rFonts w:ascii="Times New Roman" w:eastAsia="Times New Roman" w:hAnsi="Times New Roman" w:cs="Times New Roman"/>
          <w:sz w:val="24"/>
        </w:rPr>
        <w:t xml:space="preserve"> di essi</w:t>
      </w:r>
      <w:r w:rsidR="00675CC5">
        <w:rPr>
          <w:rFonts w:ascii="Times New Roman" w:eastAsia="Times New Roman" w:hAnsi="Times New Roman" w:cs="Times New Roman"/>
          <w:sz w:val="24"/>
        </w:rPr>
        <w:t xml:space="preserve"> dovrà pervenire al docente responsabile d’aula entro la mattinata di lunedì 17 febbraio.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30B8" w:rsidRDefault="005B30B8">
      <w:pPr>
        <w:pStyle w:val="Normale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durante ciascuna lezione verrà fatto girare un foglio per la raccolta delle firme dei presenti: il docente si riserva di compiere un controllo a campione sull’effettiva pres</w:t>
      </w:r>
      <w:r w:rsidR="00FB077C">
        <w:rPr>
          <w:rFonts w:ascii="Times New Roman" w:eastAsia="Times New Roman" w:hAnsi="Times New Roman" w:cs="Times New Roman"/>
          <w:sz w:val="24"/>
        </w:rPr>
        <w:t xml:space="preserve">enza in aula </w:t>
      </w:r>
      <w:r w:rsidR="002C2C9A">
        <w:rPr>
          <w:rFonts w:ascii="Times New Roman" w:eastAsia="Times New Roman" w:hAnsi="Times New Roman" w:cs="Times New Roman"/>
          <w:sz w:val="24"/>
        </w:rPr>
        <w:t xml:space="preserve">di chi ha firmato; </w:t>
      </w:r>
      <w:r w:rsidR="00FB077C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n caso di irregolarità nell’indicazione della presenza, tutto il gruppo perde l’intero beneficio</w:t>
      </w:r>
      <w:r w:rsidR="00232C7E">
        <w:rPr>
          <w:rFonts w:ascii="Times New Roman" w:eastAsia="Times New Roman" w:hAnsi="Times New Roman" w:cs="Times New Roman"/>
          <w:sz w:val="24"/>
        </w:rPr>
        <w:t xml:space="preserve"> e l’interessato viene deferito alla Commissione disciplinare, trattandosi di un falso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B077C" w:rsidRDefault="00FB077C">
      <w:pPr>
        <w:pStyle w:val="Normale1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per godere</w:t>
      </w:r>
      <w:r w:rsidR="002C2C9A">
        <w:rPr>
          <w:rFonts w:ascii="Times New Roman" w:eastAsia="Times New Roman" w:hAnsi="Times New Roman" w:cs="Times New Roman"/>
          <w:sz w:val="24"/>
        </w:rPr>
        <w:t xml:space="preserve"> individualmente</w:t>
      </w:r>
      <w:r>
        <w:rPr>
          <w:rFonts w:ascii="Times New Roman" w:eastAsia="Times New Roman" w:hAnsi="Times New Roman" w:cs="Times New Roman"/>
          <w:sz w:val="24"/>
        </w:rPr>
        <w:t xml:space="preserve"> del beneficio </w:t>
      </w:r>
      <w:r w:rsidR="003F3545">
        <w:rPr>
          <w:rFonts w:ascii="Times New Roman" w:eastAsia="Times New Roman" w:hAnsi="Times New Roman" w:cs="Times New Roman"/>
          <w:sz w:val="24"/>
        </w:rPr>
        <w:t xml:space="preserve">finale </w:t>
      </w:r>
      <w:r>
        <w:rPr>
          <w:rFonts w:ascii="Times New Roman" w:eastAsia="Times New Roman" w:hAnsi="Times New Roman" w:cs="Times New Roman"/>
          <w:sz w:val="24"/>
        </w:rPr>
        <w:t xml:space="preserve">è necessaria la presenza in aula per almeno 18 </w:t>
      </w:r>
      <w:r w:rsidR="00A81BDD">
        <w:rPr>
          <w:rFonts w:ascii="Times New Roman" w:eastAsia="Times New Roman" w:hAnsi="Times New Roman" w:cs="Times New Roman"/>
          <w:sz w:val="24"/>
        </w:rPr>
        <w:t>sessioni</w:t>
      </w:r>
      <w:r>
        <w:rPr>
          <w:rFonts w:ascii="Times New Roman" w:eastAsia="Times New Roman" w:hAnsi="Times New Roman" w:cs="Times New Roman"/>
          <w:sz w:val="24"/>
        </w:rPr>
        <w:t xml:space="preserve"> su</w:t>
      </w:r>
      <w:r w:rsidR="00A81BDD">
        <w:rPr>
          <w:rFonts w:ascii="Times New Roman" w:eastAsia="Times New Roman" w:hAnsi="Times New Roman" w:cs="Times New Roman"/>
          <w:sz w:val="24"/>
        </w:rPr>
        <w:t>lle</w:t>
      </w:r>
      <w:r>
        <w:rPr>
          <w:rFonts w:ascii="Times New Roman" w:eastAsia="Times New Roman" w:hAnsi="Times New Roman" w:cs="Times New Roman"/>
          <w:sz w:val="24"/>
        </w:rPr>
        <w:t xml:space="preserve"> 24</w:t>
      </w:r>
      <w:r w:rsidR="00A81BDD">
        <w:rPr>
          <w:rFonts w:ascii="Times New Roman" w:eastAsia="Times New Roman" w:hAnsi="Times New Roman" w:cs="Times New Roman"/>
          <w:sz w:val="24"/>
        </w:rPr>
        <w:t xml:space="preserve"> in calendario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80BD0" w:rsidRPr="00675CC5" w:rsidRDefault="00566552">
      <w:pPr>
        <w:pStyle w:val="Normale1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- i gruppi </w:t>
      </w:r>
      <w:r w:rsidR="00675CC5">
        <w:rPr>
          <w:rFonts w:ascii="Times New Roman" w:eastAsia="Times New Roman" w:hAnsi="Times New Roman" w:cs="Times New Roman"/>
          <w:sz w:val="24"/>
        </w:rPr>
        <w:t xml:space="preserve">e la loro composizione </w:t>
      </w:r>
      <w:r>
        <w:rPr>
          <w:rFonts w:ascii="Times New Roman" w:eastAsia="Times New Roman" w:hAnsi="Times New Roman" w:cs="Times New Roman"/>
          <w:sz w:val="24"/>
        </w:rPr>
        <w:t>devono essere comunicati</w:t>
      </w:r>
      <w:r w:rsidR="00675CC5">
        <w:rPr>
          <w:rFonts w:ascii="Times New Roman" w:eastAsia="Times New Roman" w:hAnsi="Times New Roman" w:cs="Times New Roman"/>
          <w:sz w:val="24"/>
        </w:rPr>
        <w:t>, a cura del rappresentante di classe,</w:t>
      </w:r>
      <w:r>
        <w:rPr>
          <w:rFonts w:ascii="Times New Roman" w:eastAsia="Times New Roman" w:hAnsi="Times New Roman" w:cs="Times New Roman"/>
          <w:sz w:val="24"/>
        </w:rPr>
        <w:t xml:space="preserve"> via mail al docente</w:t>
      </w:r>
      <w:r w:rsidR="00675CC5">
        <w:rPr>
          <w:rFonts w:ascii="Times New Roman" w:eastAsia="Times New Roman" w:hAnsi="Times New Roman" w:cs="Times New Roman"/>
          <w:color w:val="auto"/>
          <w:sz w:val="24"/>
        </w:rPr>
        <w:t xml:space="preserve"> entro la mattinata del 17 febbraio p</w:t>
      </w:r>
      <w:r w:rsidR="00E337F0">
        <w:rPr>
          <w:rFonts w:ascii="Times New Roman" w:eastAsia="Times New Roman" w:hAnsi="Times New Roman" w:cs="Times New Roman"/>
          <w:color w:val="auto"/>
          <w:sz w:val="24"/>
        </w:rPr>
        <w:t>.</w:t>
      </w:r>
      <w:r w:rsidR="00675CC5">
        <w:rPr>
          <w:rFonts w:ascii="Times New Roman" w:eastAsia="Times New Roman" w:hAnsi="Times New Roman" w:cs="Times New Roman"/>
          <w:color w:val="auto"/>
          <w:sz w:val="24"/>
        </w:rPr>
        <w:t>v</w:t>
      </w:r>
      <w:r w:rsidR="00E337F0">
        <w:rPr>
          <w:rFonts w:ascii="Times New Roman" w:eastAsia="Times New Roman" w:hAnsi="Times New Roman" w:cs="Times New Roman"/>
          <w:color w:val="auto"/>
          <w:sz w:val="24"/>
        </w:rPr>
        <w:t>.</w:t>
      </w:r>
      <w:r w:rsidR="00675CC5">
        <w:rPr>
          <w:rFonts w:ascii="Times New Roman" w:eastAsia="Times New Roman" w:hAnsi="Times New Roman" w:cs="Times New Roman"/>
          <w:color w:val="auto"/>
          <w:sz w:val="24"/>
        </w:rPr>
        <w:t xml:space="preserve"> (giorno di inizio della discussione in classe).</w:t>
      </w:r>
    </w:p>
    <w:p w:rsidR="00DB6961" w:rsidRDefault="00566552">
      <w:pPr>
        <w:pStyle w:val="Normale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Tali gruppi rimarranno invariati per tutta la durata del corso.</w:t>
      </w:r>
    </w:p>
    <w:p w:rsidR="00664296" w:rsidRPr="00DB6961" w:rsidRDefault="00664296">
      <w:pPr>
        <w:pStyle w:val="Normale1"/>
        <w:rPr>
          <w:rFonts w:ascii="Times New Roman" w:eastAsia="Times New Roman" w:hAnsi="Times New Roman" w:cs="Times New Roman"/>
          <w:sz w:val="24"/>
        </w:rPr>
      </w:pPr>
    </w:p>
    <w:p w:rsidR="00A80BD0" w:rsidRDefault="00566552">
      <w:pPr>
        <w:pStyle w:val="Normale1"/>
      </w:pPr>
      <w:r>
        <w:rPr>
          <w:rFonts w:ascii="Times New Roman" w:eastAsia="Times New Roman" w:hAnsi="Times New Roman" w:cs="Times New Roman"/>
          <w:b/>
          <w:sz w:val="24"/>
        </w:rPr>
        <w:t>Regole per la discussione dei casi in gruppo</w:t>
      </w:r>
    </w:p>
    <w:p w:rsidR="00A80BD0" w:rsidRDefault="00664296">
      <w:pPr>
        <w:pStyle w:val="Normale1"/>
      </w:pPr>
      <w:r>
        <w:rPr>
          <w:rFonts w:ascii="Times New Roman" w:eastAsia="Times New Roman" w:hAnsi="Times New Roman" w:cs="Times New Roman"/>
          <w:sz w:val="24"/>
        </w:rPr>
        <w:t>- tutti avranno</w:t>
      </w:r>
      <w:r w:rsidR="00566552">
        <w:rPr>
          <w:rFonts w:ascii="Times New Roman" w:eastAsia="Times New Roman" w:hAnsi="Times New Roman" w:cs="Times New Roman"/>
          <w:sz w:val="24"/>
        </w:rPr>
        <w:t xml:space="preserve"> la responsabilità di leggere il caso assegnato prima dello svolgimento d</w:t>
      </w:r>
      <w:r>
        <w:rPr>
          <w:rFonts w:ascii="Times New Roman" w:eastAsia="Times New Roman" w:hAnsi="Times New Roman" w:cs="Times New Roman"/>
          <w:sz w:val="24"/>
        </w:rPr>
        <w:t>ella sessione, secondo le indicazioni fornite in classe</w:t>
      </w:r>
      <w:r w:rsidR="00566552">
        <w:rPr>
          <w:rFonts w:ascii="Times New Roman" w:eastAsia="Times New Roman" w:hAnsi="Times New Roman" w:cs="Times New Roman"/>
          <w:sz w:val="24"/>
        </w:rPr>
        <w:t>.</w:t>
      </w:r>
    </w:p>
    <w:p w:rsidR="00A80BD0" w:rsidRDefault="00566552">
      <w:pPr>
        <w:pStyle w:val="Normale1"/>
      </w:pPr>
      <w:r>
        <w:rPr>
          <w:rFonts w:ascii="Times New Roman" w:eastAsia="Times New Roman" w:hAnsi="Times New Roman" w:cs="Times New Roman"/>
          <w:sz w:val="24"/>
        </w:rPr>
        <w:t>- la sessione si svolgerà come segue e prevede la partecipazione attiva e costruttiva di tutti i gruppi:</w:t>
      </w:r>
    </w:p>
    <w:p w:rsidR="00A80BD0" w:rsidRDefault="00DB6961">
      <w:pPr>
        <w:pStyle w:val="Normale1"/>
        <w:numPr>
          <w:ilvl w:val="0"/>
          <w:numId w:val="1"/>
        </w:numPr>
        <w:spacing w:after="0"/>
        <w:ind w:hanging="359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formulazione di alcune domande da parte del docente</w:t>
      </w:r>
      <w:r w:rsidR="00D34D93">
        <w:rPr>
          <w:rFonts w:ascii="Times New Roman" w:eastAsia="Times New Roman" w:hAnsi="Times New Roman" w:cs="Times New Roman"/>
          <w:sz w:val="24"/>
        </w:rPr>
        <w:t>/TA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80BD0" w:rsidRDefault="00FD1622">
      <w:pPr>
        <w:pStyle w:val="Normale1"/>
        <w:numPr>
          <w:ilvl w:val="0"/>
          <w:numId w:val="1"/>
        </w:numPr>
        <w:spacing w:after="0"/>
        <w:ind w:hanging="359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breve confronto interno a ciascun</w:t>
      </w:r>
      <w:r w:rsidR="00566552">
        <w:rPr>
          <w:rFonts w:ascii="Times New Roman" w:eastAsia="Times New Roman" w:hAnsi="Times New Roman" w:cs="Times New Roman"/>
          <w:sz w:val="24"/>
        </w:rPr>
        <w:t xml:space="preserve"> gruppo</w:t>
      </w:r>
      <w:r w:rsidR="00D34D93">
        <w:rPr>
          <w:rFonts w:ascii="Times New Roman" w:eastAsia="Times New Roman" w:hAnsi="Times New Roman" w:cs="Times New Roman"/>
          <w:sz w:val="24"/>
        </w:rPr>
        <w:t xml:space="preserve"> delle domande</w:t>
      </w:r>
      <w:r w:rsidR="00DB6961">
        <w:rPr>
          <w:rFonts w:ascii="Times New Roman" w:eastAsia="Times New Roman" w:hAnsi="Times New Roman" w:cs="Times New Roman"/>
          <w:sz w:val="24"/>
        </w:rPr>
        <w:t>;</w:t>
      </w:r>
      <w:r w:rsidR="00566552">
        <w:rPr>
          <w:rFonts w:ascii="Times New Roman" w:eastAsia="Times New Roman" w:hAnsi="Times New Roman" w:cs="Times New Roman"/>
          <w:sz w:val="24"/>
        </w:rPr>
        <w:t xml:space="preserve"> </w:t>
      </w:r>
    </w:p>
    <w:p w:rsidR="00DB6961" w:rsidRPr="00DB6961" w:rsidRDefault="00566552" w:rsidP="00DB6961">
      <w:pPr>
        <w:pStyle w:val="Normale1"/>
        <w:numPr>
          <w:ilvl w:val="0"/>
          <w:numId w:val="1"/>
        </w:numPr>
        <w:spacing w:after="0"/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discussione plenaria</w:t>
      </w:r>
      <w:r w:rsidR="00DB6961">
        <w:rPr>
          <w:rFonts w:ascii="Times New Roman" w:eastAsia="Times New Roman" w:hAnsi="Times New Roman" w:cs="Times New Roman"/>
          <w:sz w:val="24"/>
        </w:rPr>
        <w:t>.</w:t>
      </w:r>
    </w:p>
    <w:p w:rsidR="00A80BD0" w:rsidRDefault="00A80BD0">
      <w:pPr>
        <w:pStyle w:val="Normale1"/>
        <w:spacing w:after="0"/>
      </w:pPr>
    </w:p>
    <w:p w:rsidR="00A80BD0" w:rsidRDefault="00566552">
      <w:pPr>
        <w:pStyle w:val="Normale1"/>
      </w:pPr>
      <w:r>
        <w:rPr>
          <w:rFonts w:ascii="Times New Roman" w:eastAsia="Times New Roman" w:hAnsi="Times New Roman" w:cs="Times New Roman"/>
          <w:b/>
          <w:sz w:val="24"/>
        </w:rPr>
        <w:t xml:space="preserve">Valutazione </w:t>
      </w:r>
      <w:r w:rsidR="00FD1622">
        <w:rPr>
          <w:rFonts w:ascii="Times New Roman" w:eastAsia="Times New Roman" w:hAnsi="Times New Roman" w:cs="Times New Roman"/>
          <w:b/>
          <w:sz w:val="24"/>
        </w:rPr>
        <w:t>finale.</w:t>
      </w:r>
    </w:p>
    <w:p w:rsidR="00A80BD0" w:rsidRDefault="00566552">
      <w:pPr>
        <w:pStyle w:val="Normale1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La valutazione del corso viene fatta sulla base di un esame</w:t>
      </w:r>
      <w:r w:rsidR="00FD1622">
        <w:rPr>
          <w:rFonts w:ascii="Times New Roman" w:eastAsia="Times New Roman" w:hAnsi="Times New Roman" w:cs="Times New Roman"/>
          <w:sz w:val="24"/>
        </w:rPr>
        <w:t xml:space="preserve"> finale</w:t>
      </w:r>
      <w:r>
        <w:rPr>
          <w:rFonts w:ascii="Times New Roman" w:eastAsia="Times New Roman" w:hAnsi="Times New Roman" w:cs="Times New Roman"/>
          <w:sz w:val="24"/>
        </w:rPr>
        <w:t>, in forma scritta. L’esame è costituito dalla redazione di un commento ragionato, secondo le</w:t>
      </w:r>
      <w:r w:rsidR="00FD1622">
        <w:rPr>
          <w:rFonts w:ascii="Times New Roman" w:eastAsia="Times New Roman" w:hAnsi="Times New Roman" w:cs="Times New Roman"/>
          <w:sz w:val="24"/>
        </w:rPr>
        <w:t xml:space="preserve"> modalità apprese nel corso del semestre</w:t>
      </w:r>
      <w:r>
        <w:rPr>
          <w:rFonts w:ascii="Times New Roman" w:eastAsia="Times New Roman" w:hAnsi="Times New Roman" w:cs="Times New Roman"/>
          <w:sz w:val="24"/>
        </w:rPr>
        <w:t>, ad una sentenza inedita su temi lavoristici, anche diversi da quelli oggetto di analisi</w:t>
      </w:r>
      <w:r w:rsidR="00FD1622">
        <w:rPr>
          <w:rFonts w:ascii="Times New Roman" w:eastAsia="Times New Roman" w:hAnsi="Times New Roman" w:cs="Times New Roman"/>
          <w:sz w:val="24"/>
        </w:rPr>
        <w:t xml:space="preserve"> in aula</w:t>
      </w:r>
      <w:r w:rsidR="00D34D93">
        <w:rPr>
          <w:rFonts w:ascii="Times New Roman" w:eastAsia="Times New Roman" w:hAnsi="Times New Roman" w:cs="Times New Roman"/>
          <w:sz w:val="24"/>
        </w:rPr>
        <w:t xml:space="preserve">. Durante </w:t>
      </w:r>
      <w:r>
        <w:rPr>
          <w:rFonts w:ascii="Times New Roman" w:eastAsia="Times New Roman" w:hAnsi="Times New Roman" w:cs="Times New Roman"/>
          <w:sz w:val="24"/>
        </w:rPr>
        <w:t>l’esame sarà consentita la consultazione del codice e dei testi istituzionali di riferimento.</w:t>
      </w:r>
    </w:p>
    <w:p w:rsidR="00A80BD0" w:rsidRPr="00DB6961" w:rsidRDefault="009E5A65">
      <w:pPr>
        <w:pStyle w:val="Normale1"/>
        <w:spacing w:before="100" w:after="10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Ai fini del voto finale</w:t>
      </w:r>
      <w:r w:rsidR="00566552" w:rsidRPr="00DB6961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</w:rPr>
        <w:t>potranno</w:t>
      </w:r>
      <w:r w:rsidR="00566552" w:rsidRPr="00DB6961">
        <w:rPr>
          <w:rFonts w:ascii="Times New Roman" w:eastAsia="Times New Roman" w:hAnsi="Times New Roman" w:cs="Times New Roman"/>
          <w:color w:val="auto"/>
          <w:sz w:val="24"/>
        </w:rPr>
        <w:t xml:space="preserve"> essere assegnati </w:t>
      </w:r>
      <w:r w:rsidR="00566552" w:rsidRPr="00E610BD">
        <w:rPr>
          <w:rFonts w:ascii="Times New Roman" w:eastAsia="Times New Roman" w:hAnsi="Times New Roman" w:cs="Times New Roman"/>
          <w:b/>
          <w:color w:val="auto"/>
          <w:sz w:val="24"/>
        </w:rPr>
        <w:t>fino a 3</w:t>
      </w:r>
      <w:r w:rsidR="00566552" w:rsidRPr="00DB6961">
        <w:rPr>
          <w:rFonts w:ascii="Times New Roman" w:eastAsia="Times New Roman" w:hAnsi="Times New Roman" w:cs="Times New Roman"/>
          <w:color w:val="auto"/>
          <w:sz w:val="24"/>
        </w:rPr>
        <w:t xml:space="preserve"> punti aggiuntivi</w:t>
      </w:r>
      <w:r>
        <w:rPr>
          <w:rFonts w:ascii="Times New Roman" w:eastAsia="Times New Roman" w:hAnsi="Times New Roman" w:cs="Times New Roman"/>
          <w:color w:val="auto"/>
          <w:sz w:val="24"/>
        </w:rPr>
        <w:t>,</w:t>
      </w:r>
      <w:bookmarkStart w:id="1" w:name="_GoBack"/>
      <w:bookmarkEnd w:id="1"/>
      <w:r w:rsidR="00566552" w:rsidRPr="00DB6961">
        <w:rPr>
          <w:rFonts w:ascii="Times New Roman" w:eastAsia="Times New Roman" w:hAnsi="Times New Roman" w:cs="Times New Roman"/>
          <w:color w:val="auto"/>
          <w:sz w:val="24"/>
        </w:rPr>
        <w:t xml:space="preserve"> sulla base della qualità della discussione in aula, fino al </w:t>
      </w:r>
      <w:r w:rsidR="00566552" w:rsidRPr="00E610BD">
        <w:rPr>
          <w:rFonts w:ascii="Times New Roman" w:eastAsia="Times New Roman" w:hAnsi="Times New Roman" w:cs="Times New Roman"/>
          <w:b/>
          <w:color w:val="auto"/>
          <w:sz w:val="24"/>
        </w:rPr>
        <w:t>massimo voto di 30 e lode</w:t>
      </w:r>
      <w:r w:rsidR="00566552" w:rsidRPr="00DB6961">
        <w:rPr>
          <w:rFonts w:ascii="Times New Roman" w:eastAsia="Times New Roman" w:hAnsi="Times New Roman" w:cs="Times New Roman"/>
          <w:color w:val="auto"/>
          <w:sz w:val="24"/>
        </w:rPr>
        <w:t>.</w:t>
      </w:r>
      <w:r w:rsidR="00D34D93">
        <w:rPr>
          <w:color w:val="auto"/>
        </w:rPr>
        <w:t xml:space="preserve"> </w:t>
      </w:r>
      <w:r w:rsidR="00566552" w:rsidRPr="00DB6961">
        <w:rPr>
          <w:rFonts w:ascii="Times New Roman" w:eastAsia="Times New Roman" w:hAnsi="Times New Roman" w:cs="Times New Roman"/>
          <w:color w:val="auto"/>
          <w:sz w:val="24"/>
        </w:rPr>
        <w:t>I punti aggiuntivi degli interventi in aula sono assegnati dal docente al gruppo a cui appartengono le persone che intervengono.</w:t>
      </w:r>
    </w:p>
    <w:p w:rsidR="00A80BD0" w:rsidRPr="00DB6961" w:rsidRDefault="00566552">
      <w:pPr>
        <w:pStyle w:val="Normale1"/>
        <w:spacing w:before="100" w:after="100" w:line="240" w:lineRule="auto"/>
        <w:jc w:val="both"/>
        <w:rPr>
          <w:color w:val="auto"/>
        </w:rPr>
      </w:pPr>
      <w:r w:rsidRPr="00DB6961">
        <w:rPr>
          <w:rFonts w:ascii="Times New Roman" w:eastAsia="Times New Roman" w:hAnsi="Times New Roman" w:cs="Times New Roman"/>
          <w:color w:val="auto"/>
          <w:sz w:val="24"/>
        </w:rPr>
        <w:t xml:space="preserve">In particolare, non si penalizzano gli interventi meno brillanti, ma si premiano </w:t>
      </w:r>
      <w:r w:rsidR="00CB6D08" w:rsidRPr="00CB6D08">
        <w:rPr>
          <w:rFonts w:ascii="Times New Roman" w:eastAsia="Times New Roman" w:hAnsi="Times New Roman" w:cs="Times New Roman"/>
          <w:b/>
          <w:color w:val="auto"/>
          <w:sz w:val="24"/>
        </w:rPr>
        <w:t>solamente</w:t>
      </w:r>
      <w:r w:rsidRPr="00DB6961">
        <w:rPr>
          <w:rFonts w:ascii="Times New Roman" w:eastAsia="Times New Roman" w:hAnsi="Times New Roman" w:cs="Times New Roman"/>
          <w:color w:val="auto"/>
          <w:sz w:val="24"/>
        </w:rPr>
        <w:t xml:space="preserve"> le risposte eccellenti. </w:t>
      </w:r>
    </w:p>
    <w:p w:rsidR="00A80BD0" w:rsidRPr="00DB6961" w:rsidRDefault="00566552">
      <w:pPr>
        <w:pStyle w:val="Normale1"/>
        <w:spacing w:before="100" w:after="100" w:line="240" w:lineRule="auto"/>
        <w:jc w:val="both"/>
        <w:rPr>
          <w:color w:val="auto"/>
        </w:rPr>
      </w:pPr>
      <w:r w:rsidRPr="00DB6961">
        <w:rPr>
          <w:rFonts w:ascii="Times New Roman" w:eastAsia="Times New Roman" w:hAnsi="Times New Roman" w:cs="Times New Roman"/>
          <w:color w:val="auto"/>
          <w:sz w:val="24"/>
        </w:rPr>
        <w:t>Il docente terrà traccia dell’andamento degli interventi nel corso del semestre.</w:t>
      </w:r>
      <w:r w:rsidR="00FB077C">
        <w:rPr>
          <w:rFonts w:ascii="Times New Roman" w:eastAsia="Times New Roman" w:hAnsi="Times New Roman" w:cs="Times New Roman"/>
          <w:color w:val="auto"/>
          <w:sz w:val="24"/>
        </w:rPr>
        <w:t xml:space="preserve"> A fine corso verrà comunicata l’attribuzione dei punti a ciascun gruppo.</w:t>
      </w:r>
    </w:p>
    <w:p w:rsidR="00A80BD0" w:rsidRDefault="00A80BD0">
      <w:pPr>
        <w:pStyle w:val="Normale1"/>
        <w:spacing w:before="100" w:after="100" w:line="240" w:lineRule="auto"/>
        <w:jc w:val="both"/>
      </w:pPr>
    </w:p>
    <w:p w:rsidR="00A80BD0" w:rsidRDefault="00566552">
      <w:pPr>
        <w:pStyle w:val="Normale1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Ricevimento studenti: martedì, h 14:30.</w:t>
      </w:r>
    </w:p>
    <w:p w:rsidR="00A80BD0" w:rsidRDefault="00A80BD0">
      <w:pPr>
        <w:pStyle w:val="Normale1"/>
        <w:spacing w:before="100" w:after="100" w:line="240" w:lineRule="auto"/>
      </w:pPr>
    </w:p>
    <w:p w:rsidR="00246FD0" w:rsidRDefault="00246FD0">
      <w:pPr>
        <w:pStyle w:val="Normale1"/>
        <w:spacing w:before="100" w:after="100" w:line="240" w:lineRule="auto"/>
      </w:pPr>
    </w:p>
    <w:p w:rsidR="00A80BD0" w:rsidRDefault="00566552" w:rsidP="00DB6961">
      <w:pPr>
        <w:pStyle w:val="Normale1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L’Università Bocconi concepisce l’educazione come un processo permanente, che si proietta su tutto l’arco della vita professionale di una persona. L’Ateneo auspica che ogni membro della sua comunità condivida i valori di lealtà e correttezza in cui essa si riconosce e che ispirano e orientano la condotta di tutte le sue componenti nel perseguimento degli obiettivi e della missione comuni. L’Honor Code dell’Università Bocconi è pubblicato sul sito Internet </w:t>
      </w:r>
      <w:hyperlink r:id="rId5">
        <w:r>
          <w:rPr>
            <w:rFonts w:ascii="Times New Roman" w:eastAsia="Times New Roman" w:hAnsi="Times New Roman" w:cs="Times New Roman"/>
            <w:b/>
            <w:color w:val="00008B"/>
            <w:sz w:val="20"/>
          </w:rPr>
          <w:t>http://www.unibocconi.it/honorcode</w:t>
        </w:r>
      </w:hyperlink>
      <w:r>
        <w:rPr>
          <w:rFonts w:ascii="Times New Roman" w:eastAsia="Times New Roman" w:hAnsi="Times New Roman" w:cs="Times New Roman"/>
          <w:b/>
          <w:sz w:val="20"/>
        </w:rPr>
        <w:t>, ogni studente è invitato a prenderne visione.</w:t>
      </w:r>
    </w:p>
    <w:sectPr w:rsidR="00A80BD0" w:rsidSect="00A80BD0">
      <w:pgSz w:w="11900" w:h="16840"/>
      <w:pgMar w:top="1440" w:right="1127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668F"/>
    <w:multiLevelType w:val="multilevel"/>
    <w:tmpl w:val="421CBE18"/>
    <w:lvl w:ilvl="0">
      <w:start w:val="6"/>
      <w:numFmt w:val="bullet"/>
      <w:lvlText w:val="➔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20"/>
  <w:hyphenationZone w:val="283"/>
  <w:characterSpacingControl w:val="doNotCompress"/>
  <w:compat>
    <w:useFELayout/>
  </w:compat>
  <w:rsids>
    <w:rsidRoot w:val="00A80BD0"/>
    <w:rsid w:val="00232C7E"/>
    <w:rsid w:val="00246FD0"/>
    <w:rsid w:val="002C2C9A"/>
    <w:rsid w:val="00397F94"/>
    <w:rsid w:val="003F3545"/>
    <w:rsid w:val="00493C6C"/>
    <w:rsid w:val="00566552"/>
    <w:rsid w:val="005B30B8"/>
    <w:rsid w:val="00664296"/>
    <w:rsid w:val="00675CC5"/>
    <w:rsid w:val="007E18C8"/>
    <w:rsid w:val="00837CC4"/>
    <w:rsid w:val="009E5A65"/>
    <w:rsid w:val="00A80BD0"/>
    <w:rsid w:val="00A81BDD"/>
    <w:rsid w:val="00B50CFF"/>
    <w:rsid w:val="00C7426F"/>
    <w:rsid w:val="00CB6D08"/>
    <w:rsid w:val="00D34D93"/>
    <w:rsid w:val="00DB6961"/>
    <w:rsid w:val="00E337F0"/>
    <w:rsid w:val="00E610BD"/>
    <w:rsid w:val="00FB077C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C6C"/>
  </w:style>
  <w:style w:type="paragraph" w:styleId="Titolo1">
    <w:name w:val="heading 1"/>
    <w:basedOn w:val="Normale1"/>
    <w:next w:val="Normale1"/>
    <w:rsid w:val="00A80BD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A80BD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A80BD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A80BD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A80BD0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A80BD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80BD0"/>
    <w:pPr>
      <w:widowControl w:val="0"/>
    </w:pPr>
    <w:rPr>
      <w:rFonts w:ascii="Cambria" w:eastAsia="Cambria" w:hAnsi="Cambria" w:cs="Cambria"/>
      <w:color w:val="000000"/>
    </w:rPr>
  </w:style>
  <w:style w:type="paragraph" w:styleId="Titolo">
    <w:name w:val="Title"/>
    <w:basedOn w:val="Normale1"/>
    <w:next w:val="Normale1"/>
    <w:rsid w:val="00A80BD0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A80BD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bocconi.it/honor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DEL LAVORO – Modulo 2_rev.docx</vt:lpstr>
    </vt:vector>
  </TitlesOfParts>
  <Company>Universita' Luigi Bocconi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DEL LAVORO – Modulo 2_rev.docx</dc:title>
  <cp:lastModifiedBy>User Default</cp:lastModifiedBy>
  <cp:revision>19</cp:revision>
  <cp:lastPrinted>2014-02-06T17:32:00Z</cp:lastPrinted>
  <dcterms:created xsi:type="dcterms:W3CDTF">2014-02-04T09:34:00Z</dcterms:created>
  <dcterms:modified xsi:type="dcterms:W3CDTF">2014-02-10T10:32:00Z</dcterms:modified>
</cp:coreProperties>
</file>